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4" w:rsidRDefault="00B4574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D4" w:rsidRDefault="00B45744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1070D4" w:rsidRDefault="00B45744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1070D4" w:rsidRDefault="001070D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1070D4" w:rsidRDefault="00B4574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 xml:space="preserve">GM-CSF </w:t>
      </w:r>
      <w:proofErr w:type="gramStart"/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mRNA(</w:t>
      </w:r>
      <w:proofErr w:type="gramEnd"/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5-Methoxy UTP), Mouse</w:t>
      </w:r>
    </w:p>
    <w:p w:rsidR="001070D4" w:rsidRDefault="00B45744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:ER2002      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1070D4" w:rsidRDefault="00B45744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1070D4" w:rsidRDefault="001070D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657EB6" w:rsidRDefault="00657EB6" w:rsidP="00657EB6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1070D4" w:rsidRDefault="00657EB6" w:rsidP="00657EB6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GM-CSF, Mouse mRNA expresses the GM-CSF protein in mice. GM-CSF, as a hematopoietic growth factor, can stimulate the formation of granulocytes and macrophages from bone marrow precursor cells. It has a wide range of physiological functions, mainly promoting the generation, differentiation, activation, and survival of granulocytes and macrophages. Additionally, it is a key homeostatic factor in the alveoli, where it is essential for the development and long-term maintenance of alveolar macrophages. The </w:t>
      </w:r>
      <w:r w:rsidR="00E55F10" w:rsidRPr="00DC247E">
        <w:rPr>
          <w:rFonts w:ascii="Times New Roman" w:eastAsia="宋体" w:hAnsi="Times New Roman" w:cs="Times New Roman"/>
          <w:sz w:val="24"/>
          <w:szCs w:val="32"/>
        </w:rPr>
        <w:t>GM-CSF</w:t>
      </w: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mRNA produced by this kit adopts a Cap1 structure and is modified with </w:t>
      </w:r>
      <w:r>
        <w:rPr>
          <w:rFonts w:ascii="Times New Roman" w:eastAsia="宋体" w:hAnsi="Times New Roman" w:cs="Times New Roman" w:hint="eastAsia"/>
          <w:sz w:val="24"/>
          <w:szCs w:val="32"/>
        </w:rPr>
        <w:t>5-Methoxy UTP</w:t>
      </w: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. The UTR and </w:t>
      </w:r>
      <w:proofErr w:type="spellStart"/>
      <w:r w:rsidRPr="00DC247E">
        <w:rPr>
          <w:rFonts w:ascii="Times New Roman" w:eastAsia="宋体" w:hAnsi="Times New Roman" w:cs="Times New Roman"/>
          <w:sz w:val="24"/>
          <w:szCs w:val="32"/>
        </w:rPr>
        <w:t>PolyA</w:t>
      </w:r>
      <w:proofErr w:type="spellEnd"/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have been optimized with proprietary technology to significantly enhance mRNA translation efficiency and expression levels, while reducing immunogenicity and cellular toxicity.</w:t>
      </w:r>
    </w:p>
    <w:p w:rsidR="001070D4" w:rsidRDefault="001070D4" w:rsidP="00657EB6">
      <w:pPr>
        <w:rPr>
          <w:rFonts w:ascii="Times New Roman" w:eastAsia="宋体" w:hAnsi="Times New Roman" w:cs="Times New Roman"/>
          <w:sz w:val="24"/>
          <w:szCs w:val="32"/>
        </w:rPr>
      </w:pPr>
    </w:p>
    <w:p w:rsidR="00657EB6" w:rsidRDefault="00657EB6" w:rsidP="00657EB6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951"/>
        <w:gridCol w:w="2990"/>
        <w:gridCol w:w="3581"/>
      </w:tblGrid>
      <w:tr w:rsidR="00657EB6" w:rsidTr="00FC31EA">
        <w:tc>
          <w:tcPr>
            <w:tcW w:w="1951" w:type="dxa"/>
          </w:tcPr>
          <w:p w:rsidR="00657EB6" w:rsidRDefault="00E516AC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2990" w:type="dxa"/>
          </w:tcPr>
          <w:p w:rsidR="00657EB6" w:rsidRDefault="00FC31EA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581" w:type="dxa"/>
          </w:tcPr>
          <w:p w:rsidR="00657EB6" w:rsidRDefault="00657EB6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657EB6" w:rsidTr="00FC31EA">
        <w:tc>
          <w:tcPr>
            <w:tcW w:w="1951" w:type="dxa"/>
            <w:shd w:val="clear" w:color="auto" w:fill="FFFFFF" w:themeFill="background1"/>
            <w:vAlign w:val="center"/>
          </w:tcPr>
          <w:p w:rsidR="00657EB6" w:rsidRDefault="00657EB6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ER2002 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:rsidR="00657EB6" w:rsidRDefault="00657EB6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GM-CSF mRNA</w:t>
            </w:r>
          </w:p>
          <w:p w:rsidR="00657EB6" w:rsidRDefault="00657EB6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(5-Methoxy UTP), Mouse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:rsidR="00657EB6" w:rsidRDefault="00657EB6" w:rsidP="00657EB6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1070D4" w:rsidRDefault="001070D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1070D4" w:rsidRDefault="001070D4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657EB6" w:rsidRPr="009A78DB" w:rsidRDefault="00657EB6" w:rsidP="00657EB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Cell Experiment Reference Steps:</w:t>
      </w: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1. Digest cells and seed them into a 12-well plate, with 5x10^5 cells per well and 1 mL of culture medium. Transfection can be performed when cell confluence reaches &gt;80%.</w:t>
      </w: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2. Prepare mRNA transfection reagent and add it to the cells at a concentration of 0.5-2 </w:t>
      </w:r>
      <w:proofErr w:type="spellStart"/>
      <w:r w:rsidRPr="00DC247E">
        <w:rPr>
          <w:rFonts w:ascii="Times New Roman" w:eastAsia="宋体" w:hAnsi="Times New Roman" w:cs="Times New Roman"/>
          <w:sz w:val="24"/>
          <w:szCs w:val="32"/>
        </w:rPr>
        <w:t>μg</w:t>
      </w:r>
      <w:proofErr w:type="spellEnd"/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per well. Incubate the cells at 37°C in a 5% CO2 incubator for 6-8 hours. After incubation, replace the medium with complete culture medium and continue incubating for 24-48 hours.</w:t>
      </w: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3. After 24-48 hours of transfection, collect cell culture supernatant for ELISA and Western blotting analysis.</w:t>
      </w: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In Vivo Expression Experiment Reference Steps:</w:t>
      </w:r>
    </w:p>
    <w:p w:rsidR="00657EB6" w:rsidRPr="00DC247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1. Transfect EPO GM-CSF mRNA(</w:t>
      </w:r>
      <w:r w:rsidR="00DA46E8">
        <w:rPr>
          <w:rFonts w:ascii="Times New Roman" w:eastAsia="宋体" w:hAnsi="Times New Roman" w:cs="Times New Roman" w:hint="eastAsia"/>
          <w:sz w:val="24"/>
          <w:szCs w:val="32"/>
        </w:rPr>
        <w:t>5-Methoxy UTP</w:t>
      </w:r>
      <w:r w:rsidRPr="00DC247E">
        <w:rPr>
          <w:rFonts w:ascii="Times New Roman" w:eastAsia="宋体" w:hAnsi="Times New Roman" w:cs="Times New Roman"/>
          <w:sz w:val="24"/>
          <w:szCs w:val="32"/>
        </w:rPr>
        <w:t>), Mouse into mice.</w:t>
      </w:r>
    </w:p>
    <w:p w:rsidR="00657EB6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the corresponding ELISA kit to detect the expression levels of EPO in serum and plasma.</w:t>
      </w:r>
    </w:p>
    <w:p w:rsidR="00657EB6" w:rsidRDefault="00657EB6" w:rsidP="00657EB6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657EB6" w:rsidRPr="00A45346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657EB6" w:rsidRPr="00A45346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657EB6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657EB6" w:rsidRPr="00EE629E" w:rsidRDefault="00657EB6" w:rsidP="00657EB6">
      <w:pPr>
        <w:rPr>
          <w:rFonts w:ascii="Times New Roman" w:eastAsia="宋体" w:hAnsi="Times New Roman" w:cs="Times New Roman"/>
          <w:sz w:val="24"/>
          <w:szCs w:val="32"/>
        </w:rPr>
      </w:pPr>
    </w:p>
    <w:p w:rsidR="001070D4" w:rsidRDefault="00657EB6" w:rsidP="00657EB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 w:rsidR="00B45744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0D4" w:rsidRDefault="00B4574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1070D4" w:rsidRDefault="00B4574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1070D4" w:rsidRDefault="00B45744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1070D4" w:rsidRDefault="00B45744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 w:rsidR="00B45744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10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1070D4"/>
    <w:rsid w:val="00592559"/>
    <w:rsid w:val="00615EA1"/>
    <w:rsid w:val="00657EB6"/>
    <w:rsid w:val="007C0DD0"/>
    <w:rsid w:val="009476A9"/>
    <w:rsid w:val="009C676B"/>
    <w:rsid w:val="00B001CE"/>
    <w:rsid w:val="00B45744"/>
    <w:rsid w:val="00DA46E8"/>
    <w:rsid w:val="00E516AC"/>
    <w:rsid w:val="00E55F10"/>
    <w:rsid w:val="00F60954"/>
    <w:rsid w:val="00FC31EA"/>
    <w:rsid w:val="00FC66D1"/>
    <w:rsid w:val="06F360B6"/>
    <w:rsid w:val="0ADE3C7A"/>
    <w:rsid w:val="0BCC02AF"/>
    <w:rsid w:val="0C7E676A"/>
    <w:rsid w:val="0FF34699"/>
    <w:rsid w:val="10433815"/>
    <w:rsid w:val="17A93DE2"/>
    <w:rsid w:val="1E5744AE"/>
    <w:rsid w:val="1F6410B2"/>
    <w:rsid w:val="20C938C2"/>
    <w:rsid w:val="2405384C"/>
    <w:rsid w:val="2430342D"/>
    <w:rsid w:val="25164BE3"/>
    <w:rsid w:val="27367004"/>
    <w:rsid w:val="2753038A"/>
    <w:rsid w:val="2AE61515"/>
    <w:rsid w:val="2B6E7CF7"/>
    <w:rsid w:val="2CBC6235"/>
    <w:rsid w:val="2E881386"/>
    <w:rsid w:val="309F749F"/>
    <w:rsid w:val="33005D3E"/>
    <w:rsid w:val="33414AF2"/>
    <w:rsid w:val="3A683CF4"/>
    <w:rsid w:val="3B6300F8"/>
    <w:rsid w:val="40B70664"/>
    <w:rsid w:val="42517CE6"/>
    <w:rsid w:val="4380199C"/>
    <w:rsid w:val="45DF15FA"/>
    <w:rsid w:val="4609638B"/>
    <w:rsid w:val="48172FF6"/>
    <w:rsid w:val="4B4F76A7"/>
    <w:rsid w:val="4B9C070C"/>
    <w:rsid w:val="4BA17066"/>
    <w:rsid w:val="503C7A30"/>
    <w:rsid w:val="55B276EF"/>
    <w:rsid w:val="5697231E"/>
    <w:rsid w:val="58417C07"/>
    <w:rsid w:val="59BE1FCD"/>
    <w:rsid w:val="5D582D6C"/>
    <w:rsid w:val="600A0865"/>
    <w:rsid w:val="639826A5"/>
    <w:rsid w:val="68471E56"/>
    <w:rsid w:val="69CD7B52"/>
    <w:rsid w:val="6BE97F42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C0DD0"/>
    <w:rPr>
      <w:sz w:val="18"/>
      <w:szCs w:val="18"/>
    </w:rPr>
  </w:style>
  <w:style w:type="character" w:customStyle="1" w:styleId="Char1">
    <w:name w:val="批注框文本 Char"/>
    <w:basedOn w:val="a0"/>
    <w:link w:val="a7"/>
    <w:rsid w:val="007C0D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C0DD0"/>
    <w:rPr>
      <w:sz w:val="18"/>
      <w:szCs w:val="18"/>
    </w:rPr>
  </w:style>
  <w:style w:type="character" w:customStyle="1" w:styleId="Char1">
    <w:name w:val="批注框文本 Char"/>
    <w:basedOn w:val="a0"/>
    <w:link w:val="a7"/>
    <w:rsid w:val="007C0D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2024-04-15T01:26:00Z</dcterms:created>
  <dcterms:modified xsi:type="dcterms:W3CDTF">2024-04-15T01:26:00Z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F7E7EA5C2A134B569BD336C040C0AFAE_13</vt:lpwstr>
  </property>
</Properties>
</file>