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C99" w:rsidRDefault="009A78DB">
      <w:pPr>
        <w:rPr>
          <w:rFonts w:ascii="Times New Roman" w:eastAsia="宋体" w:hAnsi="Times New Roman" w:cs="Times New Roman"/>
          <w:color w:val="2E74B5" w:themeColor="accent1" w:themeShade="BF"/>
          <w:sz w:val="24"/>
          <w:szCs w:val="32"/>
        </w:rPr>
      </w:pPr>
      <w:r>
        <w:rPr>
          <w:rFonts w:ascii="Times New Roman" w:eastAsia="宋体" w:hAnsi="Times New Roman" w:cs="Times New Roman"/>
          <w:noProof/>
        </w:rPr>
        <w:drawing>
          <wp:inline distT="0" distB="0" distL="114300" distR="114300">
            <wp:extent cx="314325" cy="29845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4325" cy="298450"/>
                    </a:xfrm>
                    <a:prstGeom prst="rect">
                      <a:avLst/>
                    </a:prstGeom>
                    <a:noFill/>
                    <a:ln>
                      <a:noFill/>
                    </a:ln>
                  </pic:spPr>
                </pic:pic>
              </a:graphicData>
            </a:graphic>
          </wp:inline>
        </w:drawing>
      </w:r>
      <w:r>
        <w:rPr>
          <w:rFonts w:ascii="Times New Roman" w:eastAsia="宋体"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363220</wp:posOffset>
                </wp:positionV>
                <wp:extent cx="2065655" cy="275590"/>
                <wp:effectExtent l="0" t="0" r="10795" b="10160"/>
                <wp:wrapNone/>
                <wp:docPr id="5" name="文本框 5"/>
                <wp:cNvGraphicFramePr/>
                <a:graphic xmlns:a="http://schemas.openxmlformats.org/drawingml/2006/main">
                  <a:graphicData uri="http://schemas.microsoft.com/office/word/2010/wordprocessingShape">
                    <wps:wsp>
                      <wps:cNvSpPr txBox="1"/>
                      <wps:spPr>
                        <a:xfrm>
                          <a:off x="0" y="0"/>
                          <a:ext cx="2065655" cy="2755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D35C99" w:rsidRDefault="009A78DB">
                            <w:pPr>
                              <w:spacing w:line="240" w:lineRule="exact"/>
                              <w:rPr>
                                <w:b/>
                                <w:bCs/>
                                <w:color w:val="2E74B5" w:themeColor="accent1" w:themeShade="BF"/>
                                <w:sz w:val="24"/>
                                <w:szCs w:val="32"/>
                              </w:rPr>
                            </w:pPr>
                            <w:r>
                              <w:rPr>
                                <w:rFonts w:hint="eastAsia"/>
                                <w:b/>
                                <w:bCs/>
                                <w:color w:val="2E74B5" w:themeColor="accent1" w:themeShade="BF"/>
                                <w:sz w:val="24"/>
                                <w:szCs w:val="32"/>
                              </w:rPr>
                              <w:t>武汉一沃生物科技有限公司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6.5pt;margin-top:28.6pt;width:162.65pt;height:2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V/gAIAAEMFAAAOAAAAZHJzL2Uyb0RvYy54bWysVM1uEzEQviPxDpbvdDehm9Komyq0CkKK&#10;aEVBnB2v3VjYHmM72Q0PAG/AiQt3nivPwdibpAV6KeKyO/Z8M+P55ufsvDOarIUPCmxNB0clJcJy&#10;aJS9ren7d7NnLygJkdmGabCiphsR6Pnk6ZOz1o3FEJagG+EJOrFh3LqaLmN046IIfCkMC0fghEWl&#10;BG9YxKO/LRrPWvRudDEsy1HRgm+cBy5CwNvLXkkn2b+UgscrKYOIRNcU3xbz1+fvIn2LyRkb33rm&#10;lorvnsH+4RWGKYtBD64uWWRk5dVfroziHgLIeMTBFCCl4iLngNkMyj+yuVkyJ3IuSE5wB5rC/3PL&#10;36yvPVFNTStKLDNYou23r9vvP7c/vpAq0dO6MEbUjUNc7F5Ch2Xe3we8TFl30pv0x3wI6pHozYFc&#10;0UXC8XJYjqpRhVE46oYnVXWa2S/urJ0P8ZUAQ5JQU4/Fy5yy9TxEfAlC95AULIBWzUxpnQ+pYcSF&#10;9mTNsNQ65jeixW8obUlb09HzqsyOLSTz3rO2GCDl2ueUpbjRIjnX9q2QSFJO7YFojHNhDxEzOqEk&#10;On+M4Q6fTEVu3ccYHyxyZLDxYGyUBZ/zzVN1R1LzcU+S7PF7Bvq8EwWxW3S7HlhAs8EW8NDPUHB8&#10;prBOcxbiNfM4NFh1XATxCj9SA/IMO4mSJfjPD90nPPYyailpcQhrGj6tmBeU6NcWu/x0cHycpjYf&#10;jquTIR78fc3ivsauzAVg8Qe4chzPYsJHvRelB/MB98U0RUUVsxxj1zTuxYvYrwbcN1xMpxmEc+pY&#10;nNsbx5PrRK+F6SqCVLkpE009Nzv6cFJzr+62SloF988Zdbf7Jr8AAAD//wMAUEsDBBQABgAIAAAA&#10;IQBdWgze4AAAAAoBAAAPAAAAZHJzL2Rvd25yZXYueG1sTI9NS8QwEIbvgv8hjOBFdtM2rCu16SLi&#10;B3hz6wfess3YFptJabJt/feOJz0O8/C+z1vsFteLCcfQedKQrhMQSLW3HTUaXqr71RWIEA1Z03tC&#10;Dd8YYFeenhQmt36mZ5z2sREcQiE3GtoYh1zKULfoTFj7AYl/n350JvI5NtKOZuZw18ssSS6lMx1x&#10;Q2sGvG2x/tofnYaPi+b9KSwPr7PaqOHucaq2b7bS+vxsubkGEXGJfzD86rM6lOx08EeyQfQaVqni&#10;LVHDZpuBYEClmQJxYJJ7QZaF/D+h/AEAAP//AwBQSwECLQAUAAYACAAAACEAtoM4kv4AAADhAQAA&#10;EwAAAAAAAAAAAAAAAAAAAAAAW0NvbnRlbnRfVHlwZXNdLnhtbFBLAQItABQABgAIAAAAIQA4/SH/&#10;1gAAAJQBAAALAAAAAAAAAAAAAAAAAC8BAABfcmVscy8ucmVsc1BLAQItABQABgAIAAAAIQDlmqV/&#10;gAIAAEMFAAAOAAAAAAAAAAAAAAAAAC4CAABkcnMvZTJvRG9jLnhtbFBLAQItABQABgAIAAAAIQBd&#10;Wgze4AAAAAoBAAAPAAAAAAAAAAAAAAAAANoEAABkcnMvZG93bnJldi54bWxQSwUGAAAAAAQABADz&#10;AAAA5wUAAAAA&#10;" fillcolor="white [3201]" stroked="f" strokeweight=".5pt">
                <v:textbox>
                  <w:txbxContent>
                    <w:p w:rsidR="00D35C99" w:rsidRDefault="009A78DB">
                      <w:pPr>
                        <w:spacing w:line="240" w:lineRule="exact"/>
                        <w:rPr>
                          <w:b/>
                          <w:bCs/>
                          <w:color w:val="2E74B5" w:themeColor="accent1" w:themeShade="BF"/>
                          <w:sz w:val="24"/>
                          <w:szCs w:val="32"/>
                        </w:rPr>
                      </w:pPr>
                      <w:r>
                        <w:rPr>
                          <w:rFonts w:hint="eastAsia"/>
                          <w:b/>
                          <w:bCs/>
                          <w:color w:val="2E74B5" w:themeColor="accent1" w:themeShade="BF"/>
                          <w:sz w:val="24"/>
                          <w:szCs w:val="32"/>
                        </w:rPr>
                        <w:t>武汉一沃生物科技有限公司</w:t>
                      </w:r>
                    </w:p>
                  </w:txbxContent>
                </v:textbox>
              </v:shape>
            </w:pict>
          </mc:Fallback>
        </mc:AlternateContent>
      </w:r>
    </w:p>
    <w:p w:rsidR="00D35C99" w:rsidRDefault="00D35C99">
      <w:pPr>
        <w:rPr>
          <w:rFonts w:ascii="Times New Roman" w:eastAsia="宋体" w:hAnsi="Times New Roman" w:cs="Times New Roman"/>
          <w:color w:val="2E74B5" w:themeColor="accent1" w:themeShade="BF"/>
          <w:sz w:val="24"/>
          <w:szCs w:val="32"/>
        </w:rPr>
      </w:pPr>
    </w:p>
    <w:p w:rsidR="00D35C99" w:rsidRDefault="009A78DB">
      <w:pPr>
        <w:rPr>
          <w:rFonts w:ascii="Times New Roman" w:eastAsia="宋体" w:hAnsi="Times New Roman" w:cs="Times New Roman"/>
          <w:color w:val="3C506C"/>
          <w:spacing w:val="5"/>
          <w:sz w:val="22"/>
          <w:szCs w:val="22"/>
          <w:shd w:val="clear" w:color="auto" w:fill="FFFFFF"/>
        </w:rPr>
      </w:pPr>
      <w:r>
        <w:rPr>
          <w:rFonts w:ascii="Times New Roman" w:eastAsia="宋体" w:hAnsi="Times New Roman" w:cs="Times New Roman"/>
          <w:color w:val="3C506C"/>
          <w:spacing w:val="5"/>
          <w:sz w:val="22"/>
          <w:szCs w:val="22"/>
          <w:shd w:val="clear" w:color="auto" w:fill="FFFFFF"/>
        </w:rPr>
        <w:t>eGFP-mRNA</w:t>
      </w:r>
      <w:r>
        <w:rPr>
          <w:rFonts w:ascii="Times New Roman" w:eastAsia="宋体" w:hAnsi="Times New Roman" w:cs="Times New Roman" w:hint="eastAsia"/>
          <w:color w:val="3C506C"/>
          <w:spacing w:val="5"/>
          <w:sz w:val="22"/>
          <w:szCs w:val="22"/>
          <w:shd w:val="clear" w:color="auto" w:fill="FFFFFF"/>
        </w:rPr>
        <w:t>（</w:t>
      </w:r>
      <w:r>
        <w:rPr>
          <w:rFonts w:ascii="Times New Roman" w:eastAsia="宋体" w:hAnsi="Times New Roman" w:cs="Times New Roman" w:hint="eastAsia"/>
          <w:color w:val="3C506C"/>
          <w:spacing w:val="5"/>
          <w:sz w:val="22"/>
          <w:szCs w:val="22"/>
          <w:shd w:val="clear" w:color="auto" w:fill="FFFFFF"/>
        </w:rPr>
        <w:t>N1-Me-Pseudo UTP</w:t>
      </w:r>
      <w:r>
        <w:rPr>
          <w:rFonts w:ascii="Times New Roman" w:eastAsia="宋体" w:hAnsi="Times New Roman" w:cs="Times New Roman" w:hint="eastAsia"/>
          <w:color w:val="3C506C"/>
          <w:spacing w:val="5"/>
          <w:sz w:val="22"/>
          <w:szCs w:val="22"/>
          <w:shd w:val="clear" w:color="auto" w:fill="FFFFFF"/>
        </w:rPr>
        <w:t>）</w:t>
      </w:r>
    </w:p>
    <w:p w:rsidR="00D35C99" w:rsidRDefault="009A78DB">
      <w:pPr>
        <w:rPr>
          <w:rFonts w:ascii="Times New Roman" w:eastAsia="宋体" w:hAnsi="Times New Roman" w:cs="Times New Roman"/>
          <w:sz w:val="24"/>
          <w:szCs w:val="32"/>
        </w:rPr>
      </w:pPr>
      <w:r>
        <w:rPr>
          <w:rFonts w:ascii="Times New Roman" w:eastAsia="宋体" w:hAnsi="Times New Roman" w:cs="Times New Roman"/>
          <w:sz w:val="24"/>
          <w:szCs w:val="32"/>
        </w:rPr>
        <w:t>Cat.No.</w:t>
      </w:r>
      <w:r>
        <w:rPr>
          <w:rFonts w:ascii="Times New Roman" w:eastAsia="宋体" w:hAnsi="Times New Roman" w:cs="Times New Roman" w:hint="eastAsia"/>
          <w:sz w:val="24"/>
          <w:szCs w:val="32"/>
        </w:rPr>
        <w:t>:</w:t>
      </w:r>
      <w:r>
        <w:rPr>
          <w:rFonts w:ascii="Times New Roman" w:eastAsia="宋体" w:hAnsi="Times New Roman" w:cs="Times New Roman"/>
          <w:sz w:val="24"/>
          <w:szCs w:val="32"/>
        </w:rPr>
        <w:t>ER100</w:t>
      </w:r>
      <w:r>
        <w:rPr>
          <w:rFonts w:ascii="Times New Roman" w:eastAsia="宋体" w:hAnsi="Times New Roman" w:cs="Times New Roman" w:hint="eastAsia"/>
          <w:sz w:val="24"/>
          <w:szCs w:val="32"/>
        </w:rPr>
        <w:t>1</w:t>
      </w:r>
      <w:r>
        <w:rPr>
          <w:rFonts w:ascii="Times New Roman" w:eastAsia="宋体" w:hAnsi="Times New Roman" w:cs="Times New Roman"/>
          <w:sz w:val="24"/>
          <w:szCs w:val="32"/>
        </w:rPr>
        <w:t xml:space="preserve">             Size: 50μg/200μg/500μg/1mg</w:t>
      </w:r>
    </w:p>
    <w:p w:rsidR="00D35C99" w:rsidRDefault="009A78DB">
      <w:pPr>
        <w:rPr>
          <w:rFonts w:ascii="Times New Roman" w:eastAsia="宋体" w:hAnsi="Times New Roman" w:cs="Times New Roman"/>
          <w:sz w:val="24"/>
          <w:szCs w:val="32"/>
        </w:rPr>
      </w:pPr>
      <w:r>
        <w:rPr>
          <w:rFonts w:ascii="Times New Roman" w:eastAsia="宋体" w:hAnsi="Times New Roman" w:cs="Times New Roman"/>
          <w:sz w:val="24"/>
          <w:szCs w:val="32"/>
        </w:rPr>
        <w:t>Con.:1mg/mL              Store at -20℃</w:t>
      </w:r>
      <w:r>
        <w:rPr>
          <w:rFonts w:ascii="Times New Roman" w:eastAsia="宋体" w:hAnsi="Times New Roman" w:cs="Times New Roman"/>
          <w:sz w:val="24"/>
          <w:szCs w:val="32"/>
        </w:rPr>
        <w:t>（</w:t>
      </w:r>
      <w:r>
        <w:rPr>
          <w:rFonts w:ascii="Times New Roman" w:eastAsia="宋体" w:hAnsi="Times New Roman" w:cs="Times New Roman"/>
          <w:sz w:val="24"/>
          <w:szCs w:val="32"/>
        </w:rPr>
        <w:t>not frost-free</w:t>
      </w:r>
      <w:r>
        <w:rPr>
          <w:rFonts w:ascii="Times New Roman" w:eastAsia="宋体" w:hAnsi="Times New Roman" w:cs="Times New Roman"/>
          <w:sz w:val="24"/>
          <w:szCs w:val="32"/>
        </w:rPr>
        <w:t>）</w:t>
      </w:r>
    </w:p>
    <w:p w:rsidR="00D35C99" w:rsidRDefault="00D35C99">
      <w:pPr>
        <w:rPr>
          <w:rFonts w:ascii="Times New Roman" w:eastAsia="宋体" w:hAnsi="Times New Roman" w:cs="Times New Roman"/>
          <w:color w:val="2E74B5" w:themeColor="accent1" w:themeShade="BF"/>
          <w:sz w:val="24"/>
          <w:szCs w:val="32"/>
        </w:rPr>
      </w:pPr>
    </w:p>
    <w:p w:rsidR="009A78DB" w:rsidRPr="009A78DB" w:rsidRDefault="009A78DB" w:rsidP="009A78DB">
      <w:pPr>
        <w:rPr>
          <w:rFonts w:ascii="Times New Roman" w:eastAsia="宋体" w:hAnsi="Times New Roman" w:cs="Times New Roman"/>
          <w:color w:val="2E74B5" w:themeColor="accent1" w:themeShade="BF"/>
          <w:sz w:val="24"/>
          <w:szCs w:val="32"/>
        </w:rPr>
      </w:pPr>
      <w:r w:rsidRPr="009A78DB">
        <w:rPr>
          <w:rFonts w:ascii="Times New Roman" w:eastAsia="宋体" w:hAnsi="Times New Roman" w:cs="Times New Roman"/>
          <w:color w:val="2E74B5" w:themeColor="accent1" w:themeShade="BF"/>
          <w:sz w:val="24"/>
          <w:szCs w:val="32"/>
        </w:rPr>
        <w:t>Product Overview</w:t>
      </w:r>
    </w:p>
    <w:p w:rsidR="00D35C99" w:rsidRDefault="009A78DB" w:rsidP="009A78DB">
      <w:pPr>
        <w:ind w:firstLine="420"/>
        <w:rPr>
          <w:rFonts w:ascii="Times New Roman" w:eastAsia="宋体" w:hAnsi="Times New Roman" w:cs="Times New Roman"/>
          <w:sz w:val="24"/>
          <w:szCs w:val="32"/>
        </w:rPr>
      </w:pPr>
      <w:r w:rsidRPr="009A78DB">
        <w:rPr>
          <w:rFonts w:ascii="Times New Roman" w:eastAsia="宋体" w:hAnsi="Times New Roman" w:cs="Times New Roman"/>
          <w:sz w:val="24"/>
          <w:szCs w:val="32"/>
        </w:rPr>
        <w:t>eGFP protein (enhanced green fluorescent protein) is a commonly used reporter molecule that emits strong and bright green fluorescence upon excitation by light, with maximum excitation/emission wavelengths of 488 nm/509 nm, respectively. When transfected into cells, the eGFP mRNA product enables the expression of eGFP protein in the cells, facilitating the study of transfection and expression within cells.</w:t>
      </w:r>
    </w:p>
    <w:p w:rsidR="00D35C99" w:rsidRDefault="009A78DB">
      <w:pPr>
        <w:rPr>
          <w:rFonts w:ascii="Times New Roman" w:eastAsia="宋体" w:hAnsi="Times New Roman" w:cs="Times New Roman"/>
          <w:color w:val="2E74B5" w:themeColor="accent1" w:themeShade="BF"/>
          <w:sz w:val="24"/>
          <w:szCs w:val="32"/>
        </w:rPr>
      </w:pPr>
      <w:r w:rsidRPr="009A78DB">
        <w:rPr>
          <w:rFonts w:ascii="Times New Roman" w:eastAsia="宋体" w:hAnsi="Times New Roman" w:cs="Times New Roman"/>
          <w:color w:val="2E74B5" w:themeColor="accent1" w:themeShade="BF"/>
          <w:sz w:val="24"/>
          <w:szCs w:val="32"/>
        </w:rPr>
        <w:t>Product Composition</w:t>
      </w:r>
    </w:p>
    <w:tbl>
      <w:tblPr>
        <w:tblStyle w:val="a7"/>
        <w:tblW w:w="0" w:type="auto"/>
        <w:tblLook w:val="04A0" w:firstRow="1" w:lastRow="0" w:firstColumn="1" w:lastColumn="0" w:noHBand="0" w:noVBand="1"/>
      </w:tblPr>
      <w:tblGrid>
        <w:gridCol w:w="1771"/>
        <w:gridCol w:w="3170"/>
        <w:gridCol w:w="3581"/>
      </w:tblGrid>
      <w:tr w:rsidR="00D35C99" w:rsidRPr="009A78DB">
        <w:tc>
          <w:tcPr>
            <w:tcW w:w="1771" w:type="dxa"/>
            <w:vAlign w:val="center"/>
          </w:tcPr>
          <w:p w:rsidR="00D35C99" w:rsidRPr="009A78DB" w:rsidRDefault="00961379">
            <w:pPr>
              <w:jc w:val="left"/>
              <w:rPr>
                <w:rFonts w:ascii="Times New Roman" w:eastAsia="宋体" w:hAnsi="Times New Roman" w:cs="Times New Roman"/>
                <w:sz w:val="24"/>
                <w:szCs w:val="32"/>
              </w:rPr>
            </w:pPr>
            <w:r>
              <w:rPr>
                <w:rFonts w:ascii="Times New Roman" w:eastAsia="宋体" w:hAnsi="Times New Roman" w:cs="Times New Roman"/>
                <w:sz w:val="24"/>
                <w:szCs w:val="32"/>
              </w:rPr>
              <w:t>Cat.No</w:t>
            </w:r>
          </w:p>
        </w:tc>
        <w:tc>
          <w:tcPr>
            <w:tcW w:w="3170" w:type="dxa"/>
            <w:vAlign w:val="center"/>
          </w:tcPr>
          <w:p w:rsidR="00D35C99" w:rsidRPr="009A78DB" w:rsidRDefault="009A78DB">
            <w:pPr>
              <w:jc w:val="left"/>
              <w:rPr>
                <w:rFonts w:ascii="Times New Roman" w:eastAsia="宋体" w:hAnsi="Times New Roman" w:cs="Times New Roman"/>
                <w:sz w:val="24"/>
                <w:szCs w:val="32"/>
              </w:rPr>
            </w:pPr>
            <w:r w:rsidRPr="009A78DB">
              <w:rPr>
                <w:rFonts w:ascii="Times New Roman" w:hAnsi="Times New Roman" w:cs="Times New Roman"/>
                <w:color w:val="0D0D0D"/>
                <w:shd w:val="clear" w:color="auto" w:fill="FFFFFF"/>
              </w:rPr>
              <w:t>Product Name</w:t>
            </w:r>
          </w:p>
        </w:tc>
        <w:tc>
          <w:tcPr>
            <w:tcW w:w="3581" w:type="dxa"/>
            <w:vAlign w:val="center"/>
          </w:tcPr>
          <w:p w:rsidR="00D35C99" w:rsidRPr="009A78DB" w:rsidRDefault="009A78DB">
            <w:pPr>
              <w:jc w:val="left"/>
              <w:rPr>
                <w:rFonts w:ascii="Times New Roman" w:eastAsia="宋体" w:hAnsi="Times New Roman" w:cs="Times New Roman"/>
                <w:sz w:val="24"/>
                <w:szCs w:val="32"/>
              </w:rPr>
            </w:pPr>
            <w:r w:rsidRPr="009A78DB">
              <w:rPr>
                <w:rFonts w:ascii="Times New Roman" w:hAnsi="Times New Roman" w:cs="Times New Roman"/>
                <w:color w:val="0D0D0D"/>
                <w:shd w:val="clear" w:color="auto" w:fill="FFFFFF"/>
              </w:rPr>
              <w:t>Formulation</w:t>
            </w:r>
          </w:p>
        </w:tc>
      </w:tr>
      <w:tr w:rsidR="00D35C99" w:rsidRPr="009A78DB">
        <w:tc>
          <w:tcPr>
            <w:tcW w:w="1771" w:type="dxa"/>
            <w:vAlign w:val="center"/>
          </w:tcPr>
          <w:p w:rsidR="00D35C99" w:rsidRPr="009A78DB" w:rsidRDefault="009A78DB">
            <w:pPr>
              <w:jc w:val="left"/>
              <w:rPr>
                <w:rFonts w:ascii="Times New Roman" w:eastAsia="宋体" w:hAnsi="Times New Roman" w:cs="Times New Roman"/>
                <w:sz w:val="24"/>
                <w:szCs w:val="32"/>
              </w:rPr>
            </w:pPr>
            <w:r w:rsidRPr="009A78DB">
              <w:rPr>
                <w:rFonts w:ascii="Times New Roman" w:eastAsia="宋体" w:hAnsi="Times New Roman" w:cs="Times New Roman"/>
                <w:sz w:val="24"/>
                <w:szCs w:val="32"/>
              </w:rPr>
              <w:t>ER1001</w:t>
            </w:r>
          </w:p>
        </w:tc>
        <w:tc>
          <w:tcPr>
            <w:tcW w:w="3170" w:type="dxa"/>
            <w:vAlign w:val="center"/>
          </w:tcPr>
          <w:p w:rsidR="00D35C99" w:rsidRPr="009A78DB" w:rsidRDefault="009A78DB">
            <w:pPr>
              <w:jc w:val="left"/>
              <w:rPr>
                <w:rFonts w:ascii="Times New Roman" w:eastAsia="宋体" w:hAnsi="Times New Roman" w:cs="Times New Roman"/>
                <w:sz w:val="24"/>
                <w:szCs w:val="32"/>
              </w:rPr>
            </w:pPr>
            <w:r w:rsidRPr="009A78DB">
              <w:rPr>
                <w:rFonts w:ascii="Times New Roman" w:eastAsia="宋体" w:hAnsi="Times New Roman" w:cs="Times New Roman"/>
                <w:sz w:val="24"/>
                <w:szCs w:val="32"/>
              </w:rPr>
              <w:t>eGFP mRNA</w:t>
            </w:r>
            <w:r w:rsidRPr="009A78DB">
              <w:rPr>
                <w:rFonts w:ascii="Times New Roman" w:eastAsia="宋体" w:hAnsi="Times New Roman" w:cs="Times New Roman"/>
                <w:spacing w:val="5"/>
                <w:sz w:val="22"/>
                <w:szCs w:val="22"/>
                <w:shd w:val="clear" w:color="auto" w:fill="FFFFFF"/>
              </w:rPr>
              <w:t>（</w:t>
            </w:r>
            <w:r w:rsidRPr="009A78DB">
              <w:rPr>
                <w:rFonts w:ascii="Times New Roman" w:eastAsia="宋体" w:hAnsi="Times New Roman" w:cs="Times New Roman"/>
                <w:spacing w:val="5"/>
                <w:sz w:val="22"/>
                <w:szCs w:val="22"/>
                <w:shd w:val="clear" w:color="auto" w:fill="FFFFFF"/>
              </w:rPr>
              <w:t>N1-Me-Pseudo UTP</w:t>
            </w:r>
            <w:r w:rsidRPr="009A78DB">
              <w:rPr>
                <w:rFonts w:ascii="Times New Roman" w:eastAsia="宋体" w:hAnsi="Times New Roman" w:cs="Times New Roman"/>
                <w:spacing w:val="5"/>
                <w:sz w:val="22"/>
                <w:szCs w:val="22"/>
                <w:shd w:val="clear" w:color="auto" w:fill="FFFFFF"/>
              </w:rPr>
              <w:t>）</w:t>
            </w:r>
          </w:p>
        </w:tc>
        <w:tc>
          <w:tcPr>
            <w:tcW w:w="3581" w:type="dxa"/>
            <w:vAlign w:val="center"/>
          </w:tcPr>
          <w:p w:rsidR="00D35C99" w:rsidRPr="009A78DB" w:rsidRDefault="009A78DB">
            <w:pPr>
              <w:jc w:val="left"/>
              <w:rPr>
                <w:rFonts w:ascii="Times New Roman" w:eastAsia="宋体" w:hAnsi="Times New Roman" w:cs="Times New Roman"/>
                <w:sz w:val="24"/>
                <w:szCs w:val="32"/>
              </w:rPr>
            </w:pPr>
            <w:r w:rsidRPr="009A78DB">
              <w:rPr>
                <w:rFonts w:ascii="Times New Roman" w:hAnsi="Times New Roman" w:cs="Times New Roman"/>
                <w:color w:val="0D0D0D"/>
                <w:shd w:val="clear" w:color="auto" w:fill="FFFFFF"/>
              </w:rPr>
              <w:t>Enzyme-free aqueous solvent, 1mg/mL mRNA</w:t>
            </w:r>
          </w:p>
        </w:tc>
      </w:tr>
    </w:tbl>
    <w:p w:rsidR="00D35C99" w:rsidRDefault="00D35C99">
      <w:pPr>
        <w:rPr>
          <w:rFonts w:ascii="Times New Roman" w:eastAsia="宋体" w:hAnsi="Times New Roman" w:cs="Times New Roman"/>
          <w:color w:val="2E74B5" w:themeColor="accent1" w:themeShade="BF"/>
          <w:sz w:val="24"/>
          <w:szCs w:val="32"/>
        </w:rPr>
      </w:pPr>
    </w:p>
    <w:p w:rsidR="00D35C99" w:rsidRDefault="00D35C99">
      <w:pPr>
        <w:rPr>
          <w:rFonts w:ascii="Times New Roman" w:eastAsia="宋体" w:hAnsi="Times New Roman" w:cs="Times New Roman"/>
          <w:color w:val="2E74B5" w:themeColor="accent1" w:themeShade="BF"/>
          <w:sz w:val="24"/>
          <w:szCs w:val="32"/>
        </w:rPr>
      </w:pPr>
    </w:p>
    <w:p w:rsidR="009A78DB" w:rsidRPr="009A78DB" w:rsidRDefault="009A78DB" w:rsidP="009A78DB">
      <w:pPr>
        <w:rPr>
          <w:rFonts w:ascii="Times New Roman" w:eastAsia="宋体" w:hAnsi="Times New Roman" w:cs="Times New Roman"/>
          <w:color w:val="2E74B5" w:themeColor="accent1" w:themeShade="BF"/>
          <w:sz w:val="24"/>
          <w:szCs w:val="32"/>
        </w:rPr>
      </w:pPr>
      <w:r w:rsidRPr="009A78DB">
        <w:rPr>
          <w:rFonts w:ascii="Times New Roman" w:eastAsia="宋体" w:hAnsi="Times New Roman" w:cs="Times New Roman"/>
          <w:color w:val="2E74B5" w:themeColor="accent1" w:themeShade="BF"/>
          <w:sz w:val="24"/>
          <w:szCs w:val="32"/>
        </w:rPr>
        <w:t>Usage Instructions</w:t>
      </w:r>
    </w:p>
    <w:p w:rsidR="009A78DB" w:rsidRPr="009A78DB" w:rsidRDefault="009A78DB" w:rsidP="009A78DB">
      <w:pPr>
        <w:rPr>
          <w:rFonts w:ascii="Times New Roman" w:eastAsia="宋体" w:hAnsi="Times New Roman" w:cs="Times New Roman"/>
          <w:color w:val="000000" w:themeColor="text1"/>
          <w:sz w:val="24"/>
          <w:szCs w:val="32"/>
        </w:rPr>
      </w:pPr>
      <w:r w:rsidRPr="009A78DB">
        <w:rPr>
          <w:rFonts w:ascii="Times New Roman" w:eastAsia="宋体" w:hAnsi="Times New Roman" w:cs="Times New Roman"/>
          <w:color w:val="000000" w:themeColor="text1"/>
          <w:sz w:val="24"/>
          <w:szCs w:val="32"/>
        </w:rPr>
        <w:t>Cell Experiment Reference Steps:</w:t>
      </w:r>
    </w:p>
    <w:p w:rsidR="009A78DB" w:rsidRPr="009A78DB" w:rsidRDefault="009A78DB" w:rsidP="009A78DB">
      <w:pPr>
        <w:rPr>
          <w:rFonts w:ascii="Times New Roman" w:eastAsia="宋体" w:hAnsi="Times New Roman" w:cs="Times New Roman"/>
          <w:color w:val="000000" w:themeColor="text1"/>
          <w:sz w:val="24"/>
          <w:szCs w:val="32"/>
        </w:rPr>
      </w:pPr>
      <w:r w:rsidRPr="009A78DB">
        <w:rPr>
          <w:rFonts w:ascii="Times New Roman" w:eastAsia="宋体" w:hAnsi="Times New Roman" w:cs="Times New Roman"/>
          <w:color w:val="000000" w:themeColor="text1"/>
          <w:sz w:val="24"/>
          <w:szCs w:val="32"/>
        </w:rPr>
        <w:t>1. Digest cells and seed them into a 12-well plate at a density of 5x10^5 cells per well with 1mL of culture medium. Transfection can be performed when the cell growth density exceeds 80%.</w:t>
      </w:r>
    </w:p>
    <w:p w:rsidR="009A78DB" w:rsidRPr="009A78DB" w:rsidRDefault="009A78DB" w:rsidP="009A78DB">
      <w:pPr>
        <w:rPr>
          <w:rFonts w:ascii="Times New Roman" w:eastAsia="宋体" w:hAnsi="Times New Roman" w:cs="Times New Roman"/>
          <w:color w:val="000000" w:themeColor="text1"/>
          <w:sz w:val="24"/>
          <w:szCs w:val="32"/>
        </w:rPr>
      </w:pPr>
      <w:r w:rsidRPr="009A78DB">
        <w:rPr>
          <w:rFonts w:ascii="Times New Roman" w:eastAsia="宋体" w:hAnsi="Times New Roman" w:cs="Times New Roman"/>
          <w:color w:val="000000" w:themeColor="text1"/>
          <w:sz w:val="24"/>
          <w:szCs w:val="32"/>
        </w:rPr>
        <w:t>2. Prepare mRNA-transfection reagent and add it to the cells at a dosage of 0.5-2μg per well. Incubate at 37°C in a 5% CO2 cell culture incubator for 6-8 hours. After incubation, replace the medium with complete culture medium and continue incubating.</w:t>
      </w:r>
    </w:p>
    <w:p w:rsidR="009A78DB" w:rsidRPr="009A78DB" w:rsidRDefault="009A78DB" w:rsidP="009A78DB">
      <w:pPr>
        <w:rPr>
          <w:rFonts w:ascii="Times New Roman" w:eastAsia="宋体" w:hAnsi="Times New Roman" w:cs="Times New Roman"/>
          <w:color w:val="000000" w:themeColor="text1"/>
          <w:sz w:val="24"/>
          <w:szCs w:val="32"/>
        </w:rPr>
      </w:pPr>
      <w:r w:rsidRPr="009A78DB">
        <w:rPr>
          <w:rFonts w:ascii="Times New Roman" w:eastAsia="宋体" w:hAnsi="Times New Roman" w:cs="Times New Roman"/>
          <w:color w:val="000000" w:themeColor="text1"/>
          <w:sz w:val="24"/>
          <w:szCs w:val="32"/>
        </w:rPr>
        <w:t>3. After transfection for 12 hours, use a fluorescence microscope to image eGFP expression, which can serve as an indicator for mRNA transfection efficiency validation. Alternatively, after transfection, cells can be harvested, centrifuged, and resuspended for flow cytometry analysis of eGFP fluorescence expression.</w:t>
      </w:r>
    </w:p>
    <w:p w:rsidR="00D35C99" w:rsidRDefault="009A78DB">
      <w:pPr>
        <w:jc w:val="center"/>
        <w:rPr>
          <w:rFonts w:ascii="Times New Roman" w:eastAsia="宋体" w:hAnsi="Times New Roman" w:cs="Times New Roman"/>
          <w:color w:val="2E74B5" w:themeColor="accent1" w:themeShade="BF"/>
          <w:sz w:val="24"/>
          <w:szCs w:val="32"/>
        </w:rPr>
      </w:pPr>
      <w:r>
        <w:rPr>
          <w:rFonts w:ascii="Times New Roman" w:eastAsia="宋体" w:hAnsi="Times New Roman" w:cs="Times New Roman"/>
          <w:noProof/>
          <w:color w:val="2E74B5" w:themeColor="accent1" w:themeShade="BF"/>
          <w:sz w:val="24"/>
          <w:szCs w:val="32"/>
        </w:rPr>
        <w:drawing>
          <wp:inline distT="0" distB="0" distL="114300" distR="114300">
            <wp:extent cx="3581400" cy="2995930"/>
            <wp:effectExtent l="0" t="0" r="0" b="13970"/>
            <wp:docPr id="6" name="图片 6" descr="BR-04-A-20210817CD-14h Fig 42-YN09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R-04-A-20210817CD-14h Fig 42-YN0907-1-1"/>
                    <pic:cNvPicPr>
                      <a:picLocks noChangeAspect="1"/>
                    </pic:cNvPicPr>
                  </pic:nvPicPr>
                  <pic:blipFill>
                    <a:blip r:embed="rId8"/>
                    <a:stretch>
                      <a:fillRect/>
                    </a:stretch>
                  </pic:blipFill>
                  <pic:spPr>
                    <a:xfrm>
                      <a:off x="0" y="0"/>
                      <a:ext cx="3581400" cy="2995930"/>
                    </a:xfrm>
                    <a:prstGeom prst="rect">
                      <a:avLst/>
                    </a:prstGeom>
                  </pic:spPr>
                </pic:pic>
              </a:graphicData>
            </a:graphic>
          </wp:inline>
        </w:drawing>
      </w:r>
    </w:p>
    <w:p w:rsidR="00D35C99" w:rsidRDefault="009A78DB">
      <w:pPr>
        <w:pStyle w:val="a3"/>
        <w:jc w:val="center"/>
        <w:rPr>
          <w:rFonts w:ascii="Times New Roman" w:eastAsia="宋体" w:hAnsi="Times New Roman" w:cs="Times New Roman"/>
          <w:color w:val="2E74B5" w:themeColor="accent1" w:themeShade="BF"/>
          <w:sz w:val="24"/>
          <w:szCs w:val="32"/>
        </w:rPr>
      </w:pPr>
      <w:r w:rsidRPr="009A78DB">
        <w:rPr>
          <w:rFonts w:ascii="Times New Roman" w:eastAsia="宋体" w:hAnsi="Times New Roman" w:cs="Times New Roman"/>
        </w:rPr>
        <w:t>Figure 1: Fluorescence Expression of eGFP mRNA Transfected into 293T/17 Cells After 12 Hours</w:t>
      </w:r>
    </w:p>
    <w:p w:rsidR="00D35C99" w:rsidRDefault="00D35C99">
      <w:pPr>
        <w:rPr>
          <w:rFonts w:ascii="Times New Roman" w:eastAsia="宋体" w:hAnsi="Times New Roman" w:cs="Times New Roman"/>
          <w:color w:val="2E74B5" w:themeColor="accent1" w:themeShade="BF"/>
          <w:sz w:val="24"/>
          <w:szCs w:val="32"/>
        </w:rPr>
      </w:pPr>
    </w:p>
    <w:p w:rsidR="00D35C99" w:rsidRDefault="00D35C99">
      <w:pPr>
        <w:rPr>
          <w:rFonts w:ascii="Times New Roman" w:eastAsia="宋体" w:hAnsi="Times New Roman" w:cs="Times New Roman"/>
          <w:color w:val="5B9BD5" w:themeColor="accent1"/>
          <w:sz w:val="28"/>
          <w:szCs w:val="36"/>
        </w:rPr>
      </w:pPr>
    </w:p>
    <w:p w:rsidR="00D35C99" w:rsidRDefault="009A78DB">
      <w:pPr>
        <w:rPr>
          <w:rFonts w:ascii="Times New Roman" w:eastAsia="宋体" w:hAnsi="Times New Roman" w:cs="Times New Roman"/>
          <w:color w:val="5B9BD5" w:themeColor="accent1"/>
          <w:sz w:val="28"/>
          <w:szCs w:val="36"/>
        </w:rPr>
      </w:pPr>
      <w:r>
        <w:rPr>
          <w:rFonts w:ascii="Times New Roman" w:eastAsia="宋体" w:hAnsi="Times New Roman" w:cs="Times New Roman" w:hint="eastAsia"/>
          <w:color w:val="5B9BD5" w:themeColor="accent1"/>
          <w:sz w:val="28"/>
          <w:szCs w:val="36"/>
        </w:rPr>
        <w:t>Notes</w:t>
      </w:r>
    </w:p>
    <w:p w:rsidR="009A78DB" w:rsidRPr="009A78DB" w:rsidRDefault="009A78DB" w:rsidP="009A78DB">
      <w:pPr>
        <w:rPr>
          <w:rFonts w:ascii="Times New Roman" w:eastAsia="宋体" w:hAnsi="Times New Roman" w:cs="Times New Roman"/>
          <w:sz w:val="24"/>
          <w:szCs w:val="32"/>
        </w:rPr>
      </w:pPr>
      <w:r w:rsidRPr="009A78DB">
        <w:rPr>
          <w:rFonts w:ascii="Times New Roman" w:eastAsia="宋体" w:hAnsi="Times New Roman" w:cs="Times New Roman"/>
          <w:sz w:val="24"/>
          <w:szCs w:val="32"/>
        </w:rPr>
        <w:t>1. Storage Conditions: mRNA can be stored for 6 months at -20°C and for 12 months at -80°C.</w:t>
      </w:r>
    </w:p>
    <w:p w:rsidR="009A78DB" w:rsidRPr="009A78DB" w:rsidRDefault="009A78DB" w:rsidP="009A78DB">
      <w:pPr>
        <w:rPr>
          <w:rFonts w:ascii="Times New Roman" w:eastAsia="宋体" w:hAnsi="Times New Roman" w:cs="Times New Roman"/>
          <w:sz w:val="24"/>
          <w:szCs w:val="32"/>
        </w:rPr>
      </w:pPr>
      <w:r w:rsidRPr="009A78DB">
        <w:rPr>
          <w:rFonts w:ascii="Times New Roman" w:eastAsia="宋体" w:hAnsi="Times New Roman" w:cs="Times New Roman"/>
          <w:sz w:val="24"/>
          <w:szCs w:val="32"/>
        </w:rPr>
        <w:t>2. Avoid repeated freeze-thaw cycles of mRNA. If repeated freeze-thawing and repeated use are necessary, aliquot the mRNA upon first use.</w:t>
      </w:r>
    </w:p>
    <w:p w:rsidR="009A78DB" w:rsidRPr="009A78DB" w:rsidRDefault="009A78DB" w:rsidP="009A78DB">
      <w:pPr>
        <w:rPr>
          <w:rFonts w:ascii="Times New Roman" w:eastAsia="宋体" w:hAnsi="Times New Roman" w:cs="Times New Roman"/>
          <w:sz w:val="24"/>
          <w:szCs w:val="32"/>
        </w:rPr>
      </w:pPr>
      <w:r w:rsidRPr="009A78DB">
        <w:rPr>
          <w:rFonts w:ascii="Times New Roman" w:eastAsia="宋体" w:hAnsi="Times New Roman" w:cs="Times New Roman"/>
          <w:sz w:val="24"/>
          <w:szCs w:val="32"/>
        </w:rPr>
        <w:t>3. During the experiment, use RNase-free reagents and consumables throughout the entire process, and adhere to standardized operations in an RNase-free environment.</w:t>
      </w:r>
    </w:p>
    <w:p w:rsidR="00D35C99" w:rsidRPr="009A78DB" w:rsidRDefault="00D35C99">
      <w:pPr>
        <w:rPr>
          <w:rFonts w:ascii="Times New Roman" w:eastAsia="宋体" w:hAnsi="Times New Roman" w:cs="Times New Roman"/>
          <w:sz w:val="24"/>
          <w:szCs w:val="32"/>
        </w:rPr>
      </w:pPr>
    </w:p>
    <w:p w:rsidR="00D35C99" w:rsidRDefault="009A78DB">
      <w:pPr>
        <w:rPr>
          <w:rFonts w:ascii="Times New Roman" w:eastAsia="宋体" w:hAnsi="Times New Roman" w:cs="Times New Roman"/>
          <w:color w:val="2E74B5" w:themeColor="accent1" w:themeShade="BF"/>
          <w:sz w:val="28"/>
          <w:szCs w:val="36"/>
        </w:rPr>
      </w:pPr>
      <w:r>
        <w:rPr>
          <w:rFonts w:ascii="Times New Roman" w:eastAsia="宋体" w:hAnsi="Times New Roman" w:cs="Times New Roman"/>
          <w:color w:val="2E74B5" w:themeColor="accent1" w:themeShade="BF"/>
          <w:sz w:val="28"/>
          <w:szCs w:val="36"/>
        </w:rPr>
        <w:t>R</w:t>
      </w:r>
      <w:r>
        <w:rPr>
          <w:rFonts w:ascii="Times New Roman" w:eastAsia="宋体" w:hAnsi="Times New Roman" w:cs="Times New Roman" w:hint="eastAsia"/>
          <w:color w:val="2E74B5" w:themeColor="accent1" w:themeShade="BF"/>
          <w:sz w:val="28"/>
          <w:szCs w:val="36"/>
        </w:rPr>
        <w:t>eference</w:t>
      </w:r>
      <w:r w:rsidR="00BC6E3B">
        <w:rPr>
          <w:rFonts w:ascii="Times New Roman" w:eastAsia="宋体" w:hAnsi="Times New Roman" w:cs="Times New Roman" w:hint="eastAsia"/>
          <w:color w:val="2E74B5" w:themeColor="accent1" w:themeShade="BF"/>
          <w:sz w:val="28"/>
          <w:szCs w:val="36"/>
        </w:rPr>
        <w:t>s</w:t>
      </w:r>
    </w:p>
    <w:p w:rsidR="00D35C99" w:rsidRDefault="009A78DB">
      <w:pPr>
        <w:rPr>
          <w:rFonts w:ascii="Times New Roman" w:eastAsia="宋体" w:hAnsi="Times New Roman" w:cs="Times New Roman"/>
          <w:sz w:val="24"/>
          <w:szCs w:val="32"/>
        </w:rPr>
      </w:pPr>
      <w:r>
        <w:rPr>
          <w:rFonts w:ascii="Times New Roman" w:eastAsia="宋体"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1661160</wp:posOffset>
                </wp:positionH>
                <wp:positionV relativeFrom="paragraph">
                  <wp:posOffset>1132840</wp:posOffset>
                </wp:positionV>
                <wp:extent cx="1951990" cy="617220"/>
                <wp:effectExtent l="0" t="0" r="10160" b="11430"/>
                <wp:wrapNone/>
                <wp:docPr id="1" name="文本框 1"/>
                <wp:cNvGraphicFramePr/>
                <a:graphic xmlns:a="http://schemas.openxmlformats.org/drawingml/2006/main">
                  <a:graphicData uri="http://schemas.microsoft.com/office/word/2010/wordprocessingShape">
                    <wps:wsp>
                      <wps:cNvSpPr txBox="1"/>
                      <wps:spPr>
                        <a:xfrm>
                          <a:off x="0" y="0"/>
                          <a:ext cx="1951990" cy="6172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D35C99" w:rsidRDefault="009A78DB">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w:t>
                            </w:r>
                            <w:r>
                              <w:rPr>
                                <w:rFonts w:hint="eastAsia"/>
                                <w:b/>
                                <w:bCs/>
                                <w:color w:val="2E74B5" w:themeColor="accent1" w:themeShade="BF"/>
                                <w:sz w:val="24"/>
                                <w:szCs w:val="32"/>
                              </w:rPr>
                              <w:t>slogan</w:t>
                            </w:r>
                          </w:p>
                          <w:p w:rsidR="00D35C99" w:rsidRDefault="009A78DB">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此处插入公司联系方式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7" type="#_x0000_t202" style="position:absolute;left:0;text-align:left;margin-left:130.8pt;margin-top:89.2pt;width:153.7pt;height:48.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ZIgAIAAEoFAAAOAAAAZHJzL2Uyb0RvYy54bWysVM1uEzEQviPxDpbvZJPQtCTqpgqtgpAi&#10;WlEQZ8drJxa2x9hOdsMDwBtw4sKd5+pzMPZu0gC9FHHZHXu+mfF883N+0RhNtsIHBbakg16fEmE5&#10;VMquSvr+3fzZC0pCZLZiGqwo6U4EejF9+uS8dhMxhDXoSniCTmyY1K6k6xjdpCgCXwvDQg+csKiU&#10;4A2LePSrovKsRu9GF8N+/7SowVfOAxch4O1Vq6TT7F9KweO1lEFEokuKb4v56/N3mb7F9JxNVp65&#10;teLdM9g/vMIwZTHowdUVi4xsvPrLlVHcQwAZexxMAVIqLnIOmM2g/0c2t2vmRM4FyQnuQFP4f275&#10;m+2NJ6rC2lFimcES3X37evf9592PL2SQ6KldmCDq1iEuNi+hSdDuPuBlyrqR3qQ/5kNQj0TvDuSK&#10;JhKejMajwXiMKo6608HZcJjZL+6tnQ/xlQBDklBSj8XLnLLtIkSMiNA9JAULoFU1V1rnQ2oYcak9&#10;2TIstY75jWjxG0pbUmPw56N+dmwhmbeetcUAKdc2pyzFnRbJubZvhUSScmoPRGOcC3uImNEJJdH5&#10;Yww7fDIVuXUfY3ywyJHBxoOxURZ8zjdP1T1J1cc9SbLF7xlo804UxGbZdN3RlXwJ1Q47wUM7SsHx&#10;ucJyLViIN8zj7GCFcR/Ea/xIDUg3dBIla/CfH7pPeGxp1FJS4yyWNHzaMC8o0a8tNvt4cHKShjcf&#10;TkZn2DnEH2uWxxq7MZeAPYANja/LYsJHvRelB/MB18YsRUUVsxxjlzTuxcvYbghcO1zMZhmE4+pY&#10;XNhbx5PrxLKF2SaCVLk3E1stNx2LOLC5ZbvlkjbC8Tmj7lfg9BcAAAD//wMAUEsDBBQABgAIAAAA&#10;IQB54vae4QAAAAsBAAAPAAAAZHJzL2Rvd25yZXYueG1sTI9NT4NAEIbvJv6HzZh4MXZpK1CRpTFG&#10;beLN4ke8bdkRiOwsYbeA/97xpMfJ++Sd5823s+3EiINvHSlYLiIQSJUzLdUKXsqHyw0IHzQZ3TlC&#10;Bd/oYVucnuQ6M26iZxz3oRZcQj7TCpoQ+kxKXzVotV+4HomzTzdYHfgcamkGPXG57eQqihJpdUv8&#10;odE93jVYfe2PVsHHRf3+5OfH12kdr/v73Vimb6ZU6vxsvr0BEXAOfzD86rM6FOx0cEcyXnQKVsky&#10;YZSDdHMFgok4ueZ1B47SOAFZ5PL/huIHAAD//wMAUEsBAi0AFAAGAAgAAAAhALaDOJL+AAAA4QEA&#10;ABMAAAAAAAAAAAAAAAAAAAAAAFtDb250ZW50X1R5cGVzXS54bWxQSwECLQAUAAYACAAAACEAOP0h&#10;/9YAAACUAQAACwAAAAAAAAAAAAAAAAAvAQAAX3JlbHMvLnJlbHNQSwECLQAUAAYACAAAACEAH4aW&#10;SIACAABKBQAADgAAAAAAAAAAAAAAAAAuAgAAZHJzL2Uyb0RvYy54bWxQSwECLQAUAAYACAAAACEA&#10;eeL2nuEAAAALAQAADwAAAAAAAAAAAAAAAADaBAAAZHJzL2Rvd25yZXYueG1sUEsFBgAAAAAEAAQA&#10;8wAAAOgFAAAAAA==&#10;" fillcolor="white [3201]" stroked="f" strokeweight=".5pt">
                <v:textbox>
                  <w:txbxContent>
                    <w:p w:rsidR="00D35C99" w:rsidRDefault="009A78DB">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w:t>
                      </w:r>
                      <w:r>
                        <w:rPr>
                          <w:rFonts w:hint="eastAsia"/>
                          <w:b/>
                          <w:bCs/>
                          <w:color w:val="2E74B5" w:themeColor="accent1" w:themeShade="BF"/>
                          <w:sz w:val="24"/>
                          <w:szCs w:val="32"/>
                        </w:rPr>
                        <w:t>slogan</w:t>
                      </w:r>
                    </w:p>
                    <w:p w:rsidR="00D35C99" w:rsidRDefault="009A78DB">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此处插入公司联系方式</w:t>
                      </w:r>
                    </w:p>
                  </w:txbxContent>
                </v:textbox>
              </v:shape>
            </w:pict>
          </mc:Fallback>
        </mc:AlternateContent>
      </w:r>
      <w:r>
        <w:rPr>
          <w:rFonts w:ascii="Times New Roman" w:eastAsia="宋体"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1099185</wp:posOffset>
                </wp:positionV>
                <wp:extent cx="5400040" cy="11430"/>
                <wp:effectExtent l="0" t="4445" r="10160" b="12700"/>
                <wp:wrapNone/>
                <wp:docPr id="3" name="直接连接符 3"/>
                <wp:cNvGraphicFramePr/>
                <a:graphic xmlns:a="http://schemas.openxmlformats.org/drawingml/2006/main">
                  <a:graphicData uri="http://schemas.microsoft.com/office/word/2010/wordprocessingShape">
                    <wps:wsp>
                      <wps:cNvCnPr/>
                      <wps:spPr>
                        <a:xfrm>
                          <a:off x="0" y="0"/>
                          <a:ext cx="54000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55pt,86.55pt" to="419.6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0zAEAAMQDAAAOAAAAZHJzL2Uyb0RvYy54bWysU0uOEzEQ3SNxB8t70t2TgFArnVnMCDYI&#10;Ij4H8LjLaUv+qWySziW4ABI7WLFkz22YOQZlJ+lBzEgIxKba5apXVe+5enk+WsO2gFF71/FmVnMG&#10;Tvpeu03H37199ugpZzEJ1wvjHXR8D5Gfrx4+WO5CC2d+8KYHZFTExXYXOj6kFNqqinIAK+LMB3AU&#10;VB6tSOTipupR7Ki6NdVZXT+pdh77gF5CjHR7eQjyVamvFMj0SqkIiZmO02ypWCz2KttqtRTtBkUY&#10;tDyOIf5hCiu0o6ZTqUuRBHuP+k4pqyX66FWaSW8rr5SWUDgQm6b+jc2bQQQoXEicGCaZ4v8rK19u&#10;18h03/E5Z05YeqLrj99+fPh88/0T2euvX9g8i7QLsaXcC7fGoxfDGjPjUaHNX+LCxiLsfhIWxsQk&#10;XT5e1HW9IP0lxZpmMS/CV7fggDE9B29ZPnTcaJd5i1ZsX8REDSn1lEJOHubQvpzS3kBONu41KOJC&#10;DZuCLlsEFwbZVtD7CynBpSbToXolO8OUNmYC1n8GHvMzFMqG/Q14QpTO3qUJbLXzeF/3NJ5GVof8&#10;kwIH3lmCK9/vy8MUaWhVCsPjWudd/NUv8Nufb/UTAAD//wMAUEsDBBQABgAIAAAAIQD0AccY4gAA&#10;AAsBAAAPAAAAZHJzL2Rvd25yZXYueG1sTI9BT8JAEIXvJv6HzZh4g22pUajdEkJiRBJDABM8Lt2x&#10;rXZnm+5Cy793OOltZt7Lm+9l88E24oydrx0piMcRCKTCmZpKBR/7l9EUhA+ajG4coYILepjntzeZ&#10;To3raYvnXSgFh5BPtYIqhDaV0hcVWu3HrkVi7ct1Vgdeu1KaTvccbhs5iaJHaXVN/KHSLS4rLH52&#10;J6vgvVutlov15Zs2n7Y/TNaHzdvwqtT93bB4BhFwCH9muOIzOuTMdHQnMl40CkZxHLOVhaeEB3ZM&#10;k1kC4ni9PMxA5pn83yH/BQAA//8DAFBLAQItABQABgAIAAAAIQC2gziS/gAAAOEBAAATAAAAAAAA&#10;AAAAAAAAAAAAAABbQ29udGVudF9UeXBlc10ueG1sUEsBAi0AFAAGAAgAAAAhADj9If/WAAAAlAEA&#10;AAsAAAAAAAAAAAAAAAAALwEAAF9yZWxzLy5yZWxzUEsBAi0AFAAGAAgAAAAhALz99LTMAQAAxAMA&#10;AA4AAAAAAAAAAAAAAAAALgIAAGRycy9lMm9Eb2MueG1sUEsBAi0AFAAGAAgAAAAhAPQBxxjiAAAA&#10;CwEAAA8AAAAAAAAAAAAAAAAAJgQAAGRycy9kb3ducmV2LnhtbFBLBQYAAAAABAAEAPMAAAA1BQAA&#10;AAA=&#10;" strokecolor="#5b9bd5 [3204]" strokeweight=".5pt">
                <v:stroke joinstyle="miter"/>
              </v:line>
            </w:pict>
          </mc:Fallback>
        </mc:AlternateContent>
      </w:r>
    </w:p>
    <w:sectPr w:rsidR="00D35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5623E7"/>
    <w:multiLevelType w:val="singleLevel"/>
    <w:tmpl w:val="BB5623E7"/>
    <w:lvl w:ilvl="0">
      <w:start w:val="1"/>
      <w:numFmt w:val="decimal"/>
      <w:suff w:val="space"/>
      <w:lvlText w:val="%1."/>
      <w:lvlJc w:val="left"/>
    </w:lvl>
  </w:abstractNum>
  <w:abstractNum w:abstractNumId="1">
    <w:nsid w:val="F9550C4C"/>
    <w:multiLevelType w:val="singleLevel"/>
    <w:tmpl w:val="F9550C4C"/>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zU0ZDQ4YWJmODk3MGUxZGI0MDM1NjQ1MjQ2YzcifQ=="/>
  </w:docVars>
  <w:rsids>
    <w:rsidRoot w:val="00172A27"/>
    <w:rsid w:val="000B73FC"/>
    <w:rsid w:val="00172A27"/>
    <w:rsid w:val="00492C5A"/>
    <w:rsid w:val="004A3205"/>
    <w:rsid w:val="00557411"/>
    <w:rsid w:val="007B654F"/>
    <w:rsid w:val="00961379"/>
    <w:rsid w:val="009A78DB"/>
    <w:rsid w:val="009C2F99"/>
    <w:rsid w:val="00B24FB0"/>
    <w:rsid w:val="00BC6E3B"/>
    <w:rsid w:val="00D35C99"/>
    <w:rsid w:val="0A3F594C"/>
    <w:rsid w:val="0C2B5931"/>
    <w:rsid w:val="17A93DE2"/>
    <w:rsid w:val="25885F47"/>
    <w:rsid w:val="26607DE9"/>
    <w:rsid w:val="27A95B8E"/>
    <w:rsid w:val="309F749F"/>
    <w:rsid w:val="3265067C"/>
    <w:rsid w:val="3C0D5E93"/>
    <w:rsid w:val="3C446E8B"/>
    <w:rsid w:val="5D582D6C"/>
    <w:rsid w:val="638A0EA5"/>
    <w:rsid w:val="67FA3645"/>
    <w:rsid w:val="68471E56"/>
    <w:rsid w:val="73585D86"/>
    <w:rsid w:val="7B3E704F"/>
    <w:rsid w:val="7CB57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黑体" w:hAnsi="Arial"/>
      <w:sz w:val="20"/>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页脚 Char"/>
    <w:basedOn w:val="a0"/>
    <w:link w:val="a4"/>
    <w:qFormat/>
    <w:rPr>
      <w:rFonts w:asciiTheme="minorHAnsi" w:eastAsiaTheme="minorEastAsia" w:hAnsiTheme="minorHAnsi" w:cstheme="minorBidi"/>
      <w:kern w:val="2"/>
      <w:sz w:val="18"/>
      <w:szCs w:val="18"/>
    </w:rPr>
  </w:style>
  <w:style w:type="paragraph" w:styleId="a8">
    <w:name w:val="Balloon Text"/>
    <w:basedOn w:val="a"/>
    <w:link w:val="Char1"/>
    <w:rsid w:val="009C2F99"/>
    <w:rPr>
      <w:sz w:val="18"/>
      <w:szCs w:val="18"/>
    </w:rPr>
  </w:style>
  <w:style w:type="character" w:customStyle="1" w:styleId="Char1">
    <w:name w:val="批注框文本 Char"/>
    <w:basedOn w:val="a0"/>
    <w:link w:val="a8"/>
    <w:rsid w:val="009C2F9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黑体" w:hAnsi="Arial"/>
      <w:sz w:val="20"/>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页脚 Char"/>
    <w:basedOn w:val="a0"/>
    <w:link w:val="a4"/>
    <w:qFormat/>
    <w:rPr>
      <w:rFonts w:asciiTheme="minorHAnsi" w:eastAsiaTheme="minorEastAsia" w:hAnsiTheme="minorHAnsi" w:cstheme="minorBidi"/>
      <w:kern w:val="2"/>
      <w:sz w:val="18"/>
      <w:szCs w:val="18"/>
    </w:rPr>
  </w:style>
  <w:style w:type="paragraph" w:styleId="a8">
    <w:name w:val="Balloon Text"/>
    <w:basedOn w:val="a"/>
    <w:link w:val="Char1"/>
    <w:rsid w:val="009C2F99"/>
    <w:rPr>
      <w:sz w:val="18"/>
      <w:szCs w:val="18"/>
    </w:rPr>
  </w:style>
  <w:style w:type="character" w:customStyle="1" w:styleId="Char1">
    <w:name w:val="批注框文本 Char"/>
    <w:basedOn w:val="a0"/>
    <w:link w:val="a8"/>
    <w:rsid w:val="009C2F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375417">
      <w:bodyDiv w:val="1"/>
      <w:marLeft w:val="0"/>
      <w:marRight w:val="0"/>
      <w:marTop w:val="0"/>
      <w:marBottom w:val="0"/>
      <w:divBdr>
        <w:top w:val="none" w:sz="0" w:space="0" w:color="auto"/>
        <w:left w:val="none" w:sz="0" w:space="0" w:color="auto"/>
        <w:bottom w:val="none" w:sz="0" w:space="0" w:color="auto"/>
        <w:right w:val="none" w:sz="0" w:space="0" w:color="auto"/>
      </w:divBdr>
    </w:div>
    <w:div w:id="1995640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张昊</dc:creator>
  <cp:lastModifiedBy>1</cp:lastModifiedBy>
  <cp:revision>1</cp:revision>
  <dcterms:created xsi:type="dcterms:W3CDTF">2024-04-15T01:15:00Z</dcterms:created>
  <dcterms:modified xsi:type="dcterms:W3CDTF">2024-04-15T01:15:00Z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99BEFE8B02A84E9686521061F3B67745_13</vt:lpwstr>
  </property>
</Properties>
</file>